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06" w:type="dxa"/>
        <w:jc w:val="center"/>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jc w:val="center"/>
        </w:trPr>
        <w:tc>
          <w:tcPr>
            <w:tcW w:w="8306" w:type="dxa"/>
            <w:tcMar>
              <w:top w:w="300" w:type="dxa"/>
              <w:left w:w="0" w:type="dxa"/>
              <w:bottom w:w="0" w:type="dxa"/>
              <w:right w:w="0" w:type="dxa"/>
            </w:tcMar>
            <w:vAlign w:val="center"/>
          </w:tcPr>
          <w:tbl>
            <w:tblPr>
              <w:tblStyle w:val="4"/>
              <w:tblW w:w="8306" w:type="dxa"/>
              <w:jc w:val="center"/>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jc w:val="center"/>
              </w:trPr>
              <w:tc>
                <w:tcPr>
                  <w:tcW w:w="8306" w:type="dxa"/>
                  <w:tcMar>
                    <w:top w:w="30" w:type="dxa"/>
                    <w:left w:w="0" w:type="dxa"/>
                    <w:bottom w:w="150" w:type="dxa"/>
                    <w:right w:w="0" w:type="dxa"/>
                  </w:tcMar>
                  <w:vAlign w:val="center"/>
                </w:tcPr>
                <w:p>
                  <w:pPr>
                    <w:widowControl/>
                    <w:spacing w:line="360" w:lineRule="auto"/>
                    <w:rPr>
                      <w:rFonts w:hint="eastAsia" w:ascii="微软雅黑" w:hAnsi="微软雅黑" w:eastAsia="微软雅黑" w:cs="微软雅黑"/>
                      <w:b/>
                      <w:bCs/>
                      <w:color w:val="093A96"/>
                      <w:kern w:val="0"/>
                      <w:sz w:val="33"/>
                      <w:szCs w:val="33"/>
                    </w:rPr>
                  </w:pPr>
                </w:p>
              </w:tc>
            </w:tr>
            <w:tr>
              <w:tblPrEx>
                <w:tblLayout w:type="fixed"/>
                <w:tblCellMar>
                  <w:top w:w="0" w:type="dxa"/>
                  <w:left w:w="0" w:type="dxa"/>
                  <w:bottom w:w="0" w:type="dxa"/>
                  <w:right w:w="0" w:type="dxa"/>
                </w:tblCellMar>
              </w:tblPrEx>
              <w:trPr>
                <w:tblCellSpacing w:w="0" w:type="dxa"/>
                <w:jc w:val="center"/>
              </w:trPr>
              <w:tc>
                <w:tcPr>
                  <w:tcW w:w="8306" w:type="dxa"/>
                  <w:tcMar>
                    <w:top w:w="150" w:type="dxa"/>
                    <w:left w:w="0" w:type="dxa"/>
                    <w:bottom w:w="0" w:type="dxa"/>
                    <w:right w:w="0" w:type="dxa"/>
                  </w:tcMar>
                  <w:vAlign w:val="center"/>
                </w:tcPr>
                <w:p>
                  <w:pPr>
                    <w:widowControl/>
                    <w:spacing w:line="480" w:lineRule="auto"/>
                    <w:jc w:val="center"/>
                    <w:rPr>
                      <w:rFonts w:hint="eastAsia" w:ascii="微软雅黑" w:hAnsi="微软雅黑" w:eastAsia="微软雅黑" w:cs="微软雅黑"/>
                      <w:color w:val="000000"/>
                      <w:kern w:val="0"/>
                      <w:szCs w:val="21"/>
                    </w:rPr>
                  </w:pPr>
                </w:p>
              </w:tc>
            </w:tr>
            <w:tr>
              <w:tblPrEx>
                <w:tblLayout w:type="fixed"/>
                <w:tblCellMar>
                  <w:top w:w="0" w:type="dxa"/>
                  <w:left w:w="0" w:type="dxa"/>
                  <w:bottom w:w="0" w:type="dxa"/>
                  <w:right w:w="0" w:type="dxa"/>
                </w:tblCellMar>
              </w:tblPrEx>
              <w:trPr>
                <w:tblCellSpacing w:w="0" w:type="dxa"/>
                <w:jc w:val="center"/>
              </w:trPr>
              <w:tc>
                <w:tcPr>
                  <w:tcW w:w="8306" w:type="dxa"/>
                  <w:tcMar>
                    <w:top w:w="120" w:type="dxa"/>
                    <w:left w:w="0" w:type="dxa"/>
                    <w:bottom w:w="0" w:type="dxa"/>
                    <w:right w:w="0" w:type="dxa"/>
                  </w:tcMar>
                  <w:vAlign w:val="center"/>
                </w:tcPr>
                <w:p>
                  <w:pPr>
                    <w:widowControl/>
                    <w:spacing w:line="360" w:lineRule="auto"/>
                    <w:ind w:right="210"/>
                    <w:jc w:val="right"/>
                    <w:rPr>
                      <w:rFonts w:hint="eastAsia" w:ascii="微软雅黑" w:hAnsi="微软雅黑" w:eastAsia="微软雅黑" w:cs="微软雅黑"/>
                      <w:color w:val="919191"/>
                      <w:kern w:val="0"/>
                      <w:szCs w:val="21"/>
                    </w:rPr>
                  </w:pPr>
                </w:p>
              </w:tc>
            </w:tr>
            <w:tr>
              <w:tblPrEx>
                <w:tblLayout w:type="fixed"/>
                <w:tblCellMar>
                  <w:top w:w="0" w:type="dxa"/>
                  <w:left w:w="0" w:type="dxa"/>
                  <w:bottom w:w="0" w:type="dxa"/>
                  <w:right w:w="0" w:type="dxa"/>
                </w:tblCellMar>
              </w:tblPrEx>
              <w:trPr>
                <w:trHeight w:val="60" w:hRule="atLeast"/>
                <w:tblCellSpacing w:w="0" w:type="dxa"/>
                <w:jc w:val="center"/>
              </w:trPr>
              <w:tc>
                <w:tcPr>
                  <w:tcW w:w="8306" w:type="dxa"/>
                  <w:vAlign w:val="center"/>
                </w:tcPr>
                <w:p>
                  <w:pPr>
                    <w:widowControl/>
                    <w:spacing w:line="408" w:lineRule="auto"/>
                    <w:jc w:val="center"/>
                    <w:rPr>
                      <w:rFonts w:hint="eastAsia" w:ascii="微软雅黑" w:hAnsi="微软雅黑" w:eastAsia="微软雅黑" w:cs="微软雅黑"/>
                      <w:color w:val="000000"/>
                      <w:kern w:val="0"/>
                      <w:sz w:val="6"/>
                      <w:szCs w:val="18"/>
                    </w:rPr>
                  </w:pPr>
                </w:p>
              </w:tc>
            </w:tr>
          </w:tbl>
          <w:p>
            <w:pPr>
              <w:widowControl/>
              <w:spacing w:before="100" w:beforeAutospacing="1" w:after="100" w:afterAutospacing="1" w:line="480" w:lineRule="auto"/>
              <w:jc w:val="center"/>
              <w:rPr>
                <w:rFonts w:hint="eastAsia" w:ascii="微软雅黑" w:hAnsi="微软雅黑" w:eastAsia="微软雅黑" w:cs="微软雅黑"/>
                <w:b/>
                <w:color w:val="000000"/>
                <w:kern w:val="0"/>
                <w:sz w:val="32"/>
                <w:szCs w:val="32"/>
              </w:rPr>
            </w:pPr>
          </w:p>
          <w:p>
            <w:pPr>
              <w:widowControl/>
              <w:spacing w:before="100" w:beforeAutospacing="1" w:after="100" w:afterAutospacing="1" w:line="480" w:lineRule="auto"/>
              <w:jc w:val="center"/>
              <w:rPr>
                <w:rFonts w:hint="eastAsia" w:ascii="微软雅黑" w:hAnsi="微软雅黑" w:eastAsia="微软雅黑" w:cs="微软雅黑"/>
                <w:b/>
                <w:color w:val="000000"/>
                <w:kern w:val="0"/>
                <w:sz w:val="32"/>
                <w:szCs w:val="32"/>
              </w:rPr>
            </w:pPr>
          </w:p>
          <w:p>
            <w:pPr>
              <w:widowControl/>
              <w:spacing w:before="100" w:beforeAutospacing="1" w:after="100" w:afterAutospacing="1" w:line="480" w:lineRule="auto"/>
              <w:jc w:val="center"/>
              <w:rPr>
                <w:rFonts w:hint="eastAsia" w:ascii="微软雅黑" w:hAnsi="微软雅黑" w:eastAsia="微软雅黑" w:cs="微软雅黑"/>
                <w:b/>
                <w:color w:val="000000"/>
                <w:kern w:val="0"/>
                <w:sz w:val="32"/>
                <w:szCs w:val="32"/>
              </w:rPr>
            </w:pPr>
            <w:r>
              <w:rPr>
                <w:rFonts w:hint="eastAsia" w:ascii="微软雅黑" w:hAnsi="微软雅黑" w:eastAsia="微软雅黑" w:cs="微软雅黑"/>
                <w:b/>
                <w:color w:val="000000"/>
                <w:kern w:val="0"/>
                <w:sz w:val="32"/>
                <w:szCs w:val="32"/>
              </w:rPr>
              <w:t>药物临床试验质量管理规范</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第一章　总则</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第一条　为保证药物临床试验过程规范，结果科学可靠，保护受试者的权益并保障其安全，根据《中华人民共和国药品管理法》、《中华人民共和国药品管理法实施条例》，参照国际公认原则，制定本规范。</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第二条　药物临床试验质量管理规范是临床试验全过程的标准规定，包括方案设计、组织实施、监查、稽查、记录</w:t>
            </w:r>
            <w:bookmarkStart w:id="0" w:name="_GoBack"/>
            <w:bookmarkEnd w:id="0"/>
            <w:r>
              <w:rPr>
                <w:rFonts w:hint="eastAsia" w:ascii="微软雅黑" w:hAnsi="微软雅黑" w:eastAsia="微软雅黑" w:cs="微软雅黑"/>
                <w:color w:val="000000"/>
                <w:kern w:val="0"/>
                <w:szCs w:val="21"/>
              </w:rPr>
              <w:t>、分析总结和报告。</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第三条　凡进行各期临床试验、人体生物利用度或生物等效性试验，均须按本规范执行。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第四条　所有以人为对象的研究必须符合《世界医学大会赫尔辛基宣言》（附录1），即公正、尊重人格、力求使受试者最大程度受益和尽可能避免伤害。</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第二章　临床试验前的准备与必要条件</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第五条　进行药物临床试验必须有充分的科学依据。在进行人体试验前，必须周密考虑该试验的目的及要解决的问题，应权衡对受试者和公众健康预期的受益及风险，预期的受益应超过可能出现的损害。选择临床试验方法必须符合科学和伦理要求。</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第六条　临床试验用药品由申办者准备和提供。进行临床试验前，申办者必须提供试验药物的临床前研究资料，包括处方组成、制造工艺和质量检验结果。所提供的临床前资料必须符合进行相应各期临床试验的要求，同时还应提供试验药物已完成和其它地区正在进行与临床试验有关的有效性和安全性资料。临床试验药物的制备，应当符合《药品生产质量管理规范》。</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第七条　药物临床试验机构的设施与条件应满足安全有效地进行临床试验的需要。所有研究者都应具备承担该项临床试验的专业特长、资格和能力，并经过培训。临床试验开始前，研究者和申办者应就试验方案、试验的监查、稽查和标准操作规程以及试验中的职责分工等达成书面协议。</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第三章　受试者的权益保障</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第八条　在药物临床试验的过程中，必须对受试者的个人权益给予充分的保障，并确保试验的科学性和可靠性。受试者的权益、安全和健康必须高于对科学和社会利益的考虑。伦理委员会与知情同意书是保障受试者权益的主要措施。</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第九条　为确保临床试验中受试者的权益，须成立独立的伦理委员会，并向国家食品药品监督管理局备案。伦理委员会应有从事医药相关专业人员、非医药专业人员、法律专家及来自其他单位的人员，至少五人组成，并有不同性别的委员。伦理委员会的组成和工作不应受任何参与试验者的影响。</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第十条　试验方案需经伦理委员会审议同意并签署批准意见后方可实施。在试验进行期间，试验方案的任何修改均应经伦理委员会批准；试验中发生严重不良事件，应及时向伦理委员会报告。</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第十一条　伦理委员会对临床试验方案的审查意见应在讨论后以投票方式作出决定，参与该临床试验的委员应当回避。因工作需要可邀请非委员的专家出席会议，但不投票。伦理委员会应建立工作程序，所有会议及其决议均应有书面记录，记录保存至临床试验结束后五年。</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第十二条　伦理委员会应从保障受试者权益的角度严格按下列各项审议试验方案：</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（一）研究者的资格、经验、是否有充分的时间参加临床试验，人员配备及设备条件等是否符合试验要求；</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（二）试验方案是否充分考虑了伦理原则，包括研究目的、受试者及其他人员可能遭受的风险和受益及试验设计的科学性；</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（三）受试者入选的方法，向受试者（或其家属、监护人、法定代理人）提供有关本试验的信息资料是否完整易懂，获取知情同意书的方法是否适当；</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（四）受试者因参加临床试验而受到损害甚至发生死亡时，给予的治疗和/或保险措施；</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（五）对试验方案提出的修正意见是否可接受；</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（六）定期审查临床试验进行中受试者的风险程度。</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第十三条　伦理委员会接到申请后应及时召开会议，审阅讨论，签发书面意见，并附出席会议的委员名单、专业情况及本人签名。伦理委员会的意见可以是：</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（一）同意；</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（二）作必要的修正后同意；</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（三）不同意；</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（四）终止或暂停已批准的试验。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第十四条　研究者或其指定的代表必须向受试者说明有关临床试验的详细情况：</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（一）受试者参加试验应是自愿的，而且有权在试验的任何阶段随时退出试验而不会遭到歧视或报复，其医疗待遇与权益不会受到影响；</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（二）必须使受试者了解，参加试验及在试验中的个人资料均属保密。必要时，药品监督管理部门、伦理委员会或申办者，按规定可以查阅参加试验的受试者资料；</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（三）试验目的、试验的过程与期限、检查操作、受试者预期可能的受益和风险，告知受试者可能被分配到试验的不同组别；</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四）必须给受试者充分的时间以便考虑是否愿意参加试验，对无能力表达同意的受试者，应向其法定代理人提供上述介绍与说明。知情同意过程应采用受试者或法定代理人能理解的语言和文字，试验期间，受试者可随时了解与其有关的信息资料；</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（五）如发生与试验相关的损害时，受试者可以获得治疗和相应的补偿。</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第十五条　经充分和详细解释试验的情况后获得知情同意书：</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（一）由受试者或其法定代理人在知情同意书上签字并注明日期，执行知情同意过程的研究者也需在知情同意书上签署姓名和日期；</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（二）对无行为能力的受试者，如果伦理委员会原则上同意、研究者认为受试者参加试验符合其本身利益时，则这些病人也可以进入试验，同时应经其法定监护人同意并签名及注明日期；</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（三）儿童作为受试者，必须征得其法定监护人的知情同意并签署知情同意书，当儿童能做出同意参加研究的决定时，还必须征得其本人同意；</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四）在紧急情况下，无法取得本人及其合法代表人的知情同意书，如缺乏已被证实有效的治疗方法，而试验药物有望挽救生命，恢复健康，或减轻病痛，可考虑作为受试者，但需要在试验方案和有关文件中清楚说明接受这些受试者的方法，并事先取得伦理委员会同意；</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（五）如发现涉及试验药物的重要新资料则必须将知情同意书作书面修改送伦理委员会批准后，再次取得受试者同意。</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第四章　试验方案</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第十六条　临床试验开始前应制定试验方案，该方案应由研究者与申办者共同商定并签字，报伦理委员会审批后实施。</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第十七条　临床试验方案应包括以下内容：</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（一）试验题目；</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（二）试验目的，试验背景，临床前研究中有临床意义的发现和与该试验有关的临床试验结果、已知对人体的可能危险与受益，及试验药物存在人种差异的可能；</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（三）申办者的名称和地址，进行试验的场所，研究者的姓名、资格和地址；</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（四）试验设计的类型，随机化分组方法及设盲的水平；</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（五）受试者的入选标准，排除标准和剔除标准，选择受试者的步骤，受试者分配的方法；</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（六）根据统计学原理计算要达到试验预期目的所需的病例数；</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（七）试验用药品的剂型、剂量、给药途径、给药方法、给药次数、疗程和有关合并用药的规定，以及对包装和标签的说明；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（八）拟进行临床和实验室检查的项目、测定的次数和药代动力学分析等；</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（九）试验用药品的登记与使用记录、递送、分发方式及储藏条件；</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（十）临床观察、随访和保证受试者依从性的措施；</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（十一）中止临床试验的标准，结束临床试验的规定；</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（十二）疗效评定标准，包括评定参数的方法、观察时间、记录与分析；</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（十三）受试者的编码、随机数字表及病例报告表的保存手续；</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（十四）不良事件的记录要求和严重不良事件的报告方法、处理措施、随访的方式、时间和转归；</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（十五）试验用药品编码的建立和保存，揭盲方法和紧急情况下破盲的规定；</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（十六）统计分析计划，统计分析数据集的定义和选择；</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（十七）数据管理和数据可溯源性的规定；</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（十八）临床试验的质量控制与质量保证；</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（十九）试验相关的伦理学；</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（二十）临床试验预期的进度和完成日期；</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（二十一）试验结束后的随访和医疗措施；</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（二十二）各方承担的职责及其他有关规定；</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（二十三）参考文献。</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第十八条　临床试验中，若确有需要，可以按规定程序对试验方案作修正。</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第五章　研究者的职责</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第十九条　负责临床试验的研究者应具备下列条件：</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（一）在医疗机构中具有相应专业技术职务任职和行医资格；</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（二）具有试验方案中所要求的专业知识和经验；</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（三）对临床试验方法具有丰富经验或者能得到本单位有经验的研究者在学术上的指导；</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（四）熟悉申办者所提供的与临床试验有关的资料与文献；</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（五）有权支配参与该项试验的人员和使用该项试验所需的设备。</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第二十条　研究者必须详细阅读和了解试验方案的内容，并严格按照方案执行。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第二十一条　研究者应了解并熟悉试验药物的性质、作用、疗效及安全性(包括该药物临床前研究的有关资料)，同时也应掌握临床试验进行期间发现的所有与该药物有关的新信息。</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第二十二条　研究者必须在有良好医疗设施、实验室设备、人员配备的医疗机构进行临床试验，该机构应具备处理紧急情况的一切设施，以确保受试者的安全。实验室检查结果应准确可靠。</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第二十三条　研究者应获得所在医疗机构或主管单位的同意，保证有充分的时间在方案规定的期限内负责和完成临床试验。研究者须向参加临床试验的所有工作人员说明有关试验的资料、规定和职责，确保有足够数量并符合试验方案的受试者进入临床试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第二十四条　研究者应向受试者说明经伦理委员会同意的有关试验的详细情况，并取得知情同意书。</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第二十五条　研究者负责作出与临床试验相关的医疗决定，保证受试者在试验期间出现不良事件时得到适当的治疗。</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第二十六条　研究者有义务采取必要的措施以保障受试者的安全，并记录在案。在临床试验过程中如发生严重不良事件，研究者应立即对受试者采取适当的治疗措施，同时报告药品监督管理部门、卫生行政部门、申办者和伦理委员会，并在报告上签名及注明日期。</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第二十七条　研究者应保证将数据真实、准确、完整、及时、合法地载入病历和病例报告表。</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第二十八条　研究者应接受申办者派遣的监查员或稽查员的监查和稽查及药品监督管理部门的稽查和视察，确保临床试验的质量。</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第二十九条　研究者应与申办者商定有关临床试验的费用，并在合同中写明。研究者在临床试验过程中，不得向受试者收取试验用药所需的费用。</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第三十条　临床试验完成后，研究者必须写出总结报告，签名并注明日期后送申办者。</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第三十一条　研究者中止一项临床试验必须通知受试者、申办者、伦理委员会和药品监督管理部门，并阐明理由。</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第六章　申办者的职责</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第三十二条　申办者负责发起、申请、组织、监查和稽查一项临床试验，并提供试验经费。申办者按国家法律、法规等有关规定，向国家食品药品监督管理局递交临床试验的申请，也可委托合同研究组织执行临床试验中的某些工作和任务。</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第三十三条　申办者选择临床试验的机构和研究者，认可其资格及条件以保证试验的完成。</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第三十四条　申办者提供研究者手册，其内容包括试验药物的化学、药学、毒理学、药理学和临床的（包括以前的和正在进行的试验）资料和数据。</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第三十五条　申办者在获得国家食品药品监督管理局批准并取得伦理委员会批准件后方可按方案组织临床试验。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第三十六条　申办者、研究者共同设计临床试验方案，述明在方案实施、数据管理、统计分析、结果报告、发表论文方式等方面职责及分工。签署双方同意的试验方案及合同。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第三十七条　申办者向研究者提供具有易于识别、正确编码并贴有特殊标签的试验药物、标准品、对照药品或安慰剂，并保证质量合格。试验用药品应按试验方案的需要进行适当包装、保存。申办者应建立试验用药品的管理制度和记录系统。</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第三十八条　申办者任命合格的监查员，并为研究者所接受。</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第三十九条　申办者应建立对临床试验的质量控制和质量保证系统，可组织对临床试验的稽查以保证质量。</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第四十条　申办者应与研究者迅速研究所发生的严重不良事件，采取必要的措施以保证受试者的安全和权益，并及时向药品监督管理部门和卫生行政部门报告，同时向涉及同一药物的临床试验的其他研究者通报。</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第四十一条　申办者中止一项临床试验前，须通知研究者、伦理委员会和国家食品药品监督管理局，并述明理由。</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第四十二条　申办者负责向国家食品药品监督管理局递交试验的总结报告。</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第四十三条　申办者应对参加临床试验的受试者提供保险，对于发生与试验相关的损害或死亡的受试者承担治疗的费用及相应的经济补偿。申办者应向研究者提供法律上与经济上的担保，但由医疗事故所致者除外。</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第四十四条　研究者不遵从已批准的方案或有关法规进行临床试验时，申办者应指出以求纠正，如情况严重或坚持不改，则应终止研究者参加临床试验并向药品监督管理部门报告。</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第七章　监查员的职责</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第四十五条　监查的目的是为了保证临床试验中受试者的权益受到保障，试验记录与报告的数据准确、完整无误，保证试验遵循已批准的方案和有关法规。</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第四十六条　监查员是申办者与研究者之间的主要联系人。其人数及访视的次数取决于临床试验的复杂程度和参与试验的医疗机构的数目。监查员应有适当的医学、药学或相关专业学历，并经过必要的训练，熟悉药品管理有关法规，熟悉有关试验药物的临床前和临床方面的信息以及临床试验方案及其相关的文件。</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第四十七条　监查员应遵循标准操作规程，督促临床试验的进行，以保证临床试验按方案执行。具体内容包括：</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（一）在试验前确认试验承担单位已具有适当的条件，包括人员配备与培训情况，实验室设备齐全、运转良好，具备各种与试验有关的检查条件，估计有足够数量的受试者，参与研究人员熟悉试验方案中的要求；</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（二）在试验过程中监查研究者对试验方案的执行情况，确认在试验前取得所有受试者的知情同意书，了解受试者的入选率及试验的进展状况，确认入选的受试者合格；</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三）确认所有数据的记录与报告正确完整，所有病例报告表填写正确，并与原始资料一致。所有错误或遗漏均已改正或注明，经研究者签名并注明日期。每一受试者的剂量改变、治疗变更、合并用药、间发疾病、失访、检查遗漏等均应确认并记录。核实入选受试者的退出与失访已在病例报告表中予以说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（四）确认所有不良事件均记录在案，严重不良事件在规定时间内作出报告并记录在案；</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（五）核实试验用药品按照有关法规进行供应、储藏、分发、收回，并做相应的记录；</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（六）协助研究者进行必要的通知及申请事宜，向申办者报告试验数据和结果；</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（七）应清楚如实记录研究者未能做到的随访、未进行的试验、未做的检查，以及是否对错误、遗漏作出纠正；</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（八）每次访视后作一书面报告递送申办者，报告应述明监查日期、时间、监查员姓名、监查的发现等。</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第八章　记录与报告</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第四十八条　病历作为临床试验的原始文件，应完整保存。病例报告表中的数据来自原始文件并与原始文件一致，试验中的任何观察、检查结果均应及时、准确、完整、规范、真实地记录于病历和正确地填写至病例报告表中，不得随意更改，确因填写错误，作任何更正时应保持原记录清晰可辩，由更正者签署姓名和时间。</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第四十九条　临床试验中各种实验室数据均应记录或将原始报告复印件粘贴在病例报告表上，在正常范围内的数据也应具体记录。对显著偏离或在临床可接受范围以外的数据须加以核实。检测项目必须注明所采用的计量单位。</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第五十条　为保护受试者隐私，病例报告表上不应出现受试者的姓名。研究者应按受试者的代码确认其身份并记录。</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第五十一条　临床试验总结报告内容应与试验方案要求一致，包括：</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（一）随机进入各组的实际病例数，脱落和剔除的病例及其理由；</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（二）不同组间的基线特征比较，以确定可比性；</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（三）对所有疗效评价指标进行统计分析和临床意义分析。统计结果的解释应着重考虑其临床意义；</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（四）安全性评价应有临床不良事件和实验室指标合理的统计分析，对严重不良事件应详细描述和评价；</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（五）多中心试验评价疗效，应考虑中心间存在的差异及其影响；</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（六）对试验药物的疗效和安全性以及风险和受益之间的关系作出简要概述和讨论。</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第五十二条　临床试验中的资料均须按规定保存（附录2）及管理。研究者应保存临床试验资料至临床试验终止后五年。申办者应保存临床试验资料至试验药物被批准上市后五年。</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第九章　数据管理与统计分析</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第五十三条　数据管理的目的在于把试验数据迅速、完整、无误地纳入报告，所有涉及数据管理的各种步骤均需记录在案，以便对数据质量及试验实施进行检查。用适当的程序保证数据库的保密性，应具有计算机数据库的维护和支持程序。</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第五十四条　临床试验中受试者分配必须按试验设计确定的随机分配方案进行，每名受试者的处理分组编码应作为盲底由申办者和研究者分别保存。设盲试验应在方案中规定揭盲的条件和执行揭盲的程序，并配有相应处理编码的应急信件。在紧急情况下，允许对个别受试者紧急破盲而了解其所接受的治疗，但必须在病例报告表上述明理由。</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第五十五条　临床试验资料的统计分析过程及其结果的表达必须采用规范的统计学方法。临床试验各阶段均需有生物统计学专业人员参与。临床试验方案中需有统计分析计划，并在正式统计分析前加以确认和细化。若需作中期分析，应说明理由及操作规程。对治疗作用的评价应将可信区间与假设检验的结果一并考虑。所选用统计分析数据集需加以说明。对于遗漏、未用或多余的资料须加以说明，临床试验的统计报告必须与临床试验总结报告相符。</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第十章　试验用药品的管理</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第五十六条　临床试验用药品不得销售。</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第五十七条　申办者负责对临床试验用药品作适当的包装与标签，并标明为临床试验专用。在双盲临床试验中，试验药物与对照药品或安慰剂在外形、气味、包装、标签和其他特征上均应一致。</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第五十八条　试验用药品的使用记录应包括数量、装运、递送、接受、分配、应用后剩余药物的回收与销毁等方面的信息。</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第五十九条　试验用药品的使用由研究者负责，研究者必须保证所有试验用药品仅用于该临床试验的受试者，其剂量与用法应遵照试验方案，剩余的试验用药品退回申办者，上述过程需由专人负责并记录在案，试验用药品须有专人管理。研究者不得把试验用药品转交任何非临床试验参加者。</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第六十条　试验用药品的供给、使用、储藏及剩余药物的处理过程应接受相关人员的检查。</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第十一章　质量保证</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第六十一条　申办者及研究者均应履行各自职责，并严格遵循临床试验方案，采用标准操作规程，以保证临床试验的质量控制和质量保证系统的实施。</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第六十二条　临床试验中有关所有观察结果和发现都应加以核实，在数据处理的每一阶段必须进行质量控制，以保证数据完整、准确、真实、可靠。</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第六十三条　药品监督管理部门、申办者可委托稽查人员对临床试验相关活动和文件进行系统性检查，以评价试验是否按照试验方案、标准操作规程以及相关法规要求进行，试验数据是否及时、真实、准确、完整地记录。稽查应由不直接涉及该临床试验的人员执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第六十四条　药品监督管理部门应对研究者与申办者在实施试验中各自的任务与执行状况进行视察。参加临床试验的医疗机构和实验室的有关资料及文件(包括病历)均应接受药品监督管理部门的视察。</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第十二章　多中心试验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第六十五条　多中心试验是由多位研究者按同一试验方案在不同地点和单位同时进行的临床试验。各中心同期开始与结束试验。多中心试验由一位主要研究者总负责，并作为临床试验各中心间的协调研究者。</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第六十六条　多中心试验的计划和组织实施要考虑以下各点：</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（一）试验方案由各中心的主要研究者与申办者共同讨论认定，伦理委员会批准后执行；</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（二）在临床试验开始时及进行的中期应组织研究者会议；</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（三）各中心同期进行临床试验；</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（四）各中心临床试验样本大小及中心间的分配应符合统计分析的要求；</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（五）保证在不同中心以相同程序管理试验用药品，包括分发和储藏；</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（六）根据同一试验方案培训参加该试验的研究者；</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（七）建立标准化的评价方法，试验中所采用的实验室和临床评价方法均应有统一的质量控制，实验室检查也可由中心实验室进行；</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（八）数据资料应集中管理与分析，应建立数据传递、管理、核查与查询程序；</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（九）保证各试验中心研究者遵从试验方案，包括在违背方案时终止其参加试验。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第六十七条　多中心试验应当根据参加试验的中心数目和试验的要求，以及对试验用药品的了解程度建立管理系统，协调研究者负责整个试验的实施。</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第十三章　附　则</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第六十八条　本规范下列用语的含义是：</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临床试验（ClinicalTrial），指任何在人体（病人或健康志愿者）进行药物的系统性研究，以证实或揭示试验药物的作用、不良反应及/或试验药物的吸收、分布、代谢和排泄，目的是确定试验药物的疗效与安全性。</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试验方案（Protocol），叙述试验的背景、理论基础和目的，试验设计、方法和组织，包括统计学考虑、试验执行和完成的条件。方案必须由参加试验的主要研究者、研究机构和申办者签章并注明日期。</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研究者手册（Investigator</w:t>
            </w:r>
            <w:r>
              <w:rPr>
                <w:rFonts w:hint="eastAsia" w:ascii="微软雅黑" w:hAnsi="微软雅黑" w:eastAsia="微软雅黑" w:cs="微软雅黑"/>
                <w:color w:val="000000"/>
                <w:kern w:val="0"/>
                <w:szCs w:val="21"/>
              </w:rPr>
              <w:t></w:t>
            </w:r>
            <w:r>
              <w:rPr>
                <w:rFonts w:hint="eastAsia" w:ascii="微软雅黑" w:hAnsi="微软雅黑" w:eastAsia="微软雅黑" w:cs="微软雅黑"/>
                <w:color w:val="000000"/>
                <w:kern w:val="0"/>
                <w:szCs w:val="21"/>
              </w:rPr>
              <w:t>，sBrochure），是有关试验药物在进行人体研究时已有的临床与非临床研究资料。</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知情同意（InformedConsent），指向受试者告知一项试验的各方面情况后，受试者自愿确认其同意参加该项临床试验的过程，须以签名和注明日期的知情同意书作为文件证明。</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知情同意书（InformedConsentForm），是每位受试者表示自愿参加某一试验的文件证明。研究者需向受试者说明试验性质、试验目的、可能的受益和风险、可供选用的其他治疗方法以及符合《赫尔辛基宣言》规定的受试者的权利和义务等，使受试者充分了解后表达其同意。</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伦理委员会（EthicsCommittee），由医学专业人员、法律专家及非医务人员组成的独立组织，其职责为核查临床试验方案及附件是否合乎道德，并为之提供公众保证，确保受试者的安全、健康和权益受到保护。该委员会的组成和一切活动不应受临床试验组织和实施者的干扰或影响。</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研究者（Investigator），实施临床试验并对临床试验的质量及受试者安全和权益的负责者。研究者必须经过资格审查，具有临床试验的专业特长、资格和能力。</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协调研究者（CoordinatingInvestigator），在多中心临床试验中负责协调参加各中心研究者工作的一名研究者。</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申办者（Sponsor），发起一项临床试验，并对该试验的启动、管理、财务和监查负责的公司、机构或组织。</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监查员（Monitor），由申办者任命并对申办者负责的具备相关知识的人员，其任务是监查和报告试验的进行情况和核实数据。</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稽查（Audit），指由不直接涉及试验的人员所进行的一种系统性检查，以评价试验的实施、数据的记录和分析是否与试验方案、标准操作规程以及药物临床试验相关法规要求相符。</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视察（Inspection），药品监督管理部门对一项临床试验的有关文件、设施、记录和其它方面进行官方审阅，视察可以在试验单位、申办者所在地或合同研究组织所在地进行。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病例报告表（CaseReportForm,CRF），指按试验方案所规定设计的一种文件，用以记录每一名受试者在试验过程中的数据。</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试验用药品（InvestigationalProduct），用于临床试验中的试验药物、对照药品或安慰剂。</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不良事件（AdverseEvent），病人或临床试验受试者接受一种药品后出现的不良医学事件，但并不一定与治疗有因果关系。</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严重不良事件（SeriousAdverseEvent），临床试验过程中发生需住院治疗、延长住院时间、伤残、影响工作能力、危及生命或死亡、导致先天畸形等事件。</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标准操作规程（StandardOperatingProcedure,SOP），为有效地实施和完成某一临床试验中每项工作所拟定的标准和详细的书面规程。</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设盲（Blinding/Masking），临床试验中使一方或多方不知道受试者治疗分配的程序。单盲指受试者不知，双盲指受试者、研究者、监查员或数据分析者均不知治疗分配。</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合同研究组织（ContractResearchOrganization,CRO），一种学术性或商业性的科学机构。申办者可委托其执行临床试验中的某些工作和任务，此种委托必须作出书面规定。</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第六十九条　本规范由国家食品药品监督管理局负责解释。</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第七十条　本规范自2003年9月1日起施行，原国家药品监督管理局1999年9月1日发布的《药品临床试验管理规范》同时废止。</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附录1：</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世界医学大会赫尔辛基宣言</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人体医学研究的伦理准则</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通过：第18届世界医学大会，赫尔辛基，芬兰。1964年6月</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修订：第29届世界医学大会，东京，日本，1975年10月</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第35届世界医学大会，威尼斯，意大利，1983年10月</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第41届世界医学大会，香港，1989年9月</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第48届世界医学大会，南非，1996年10月</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第52届世界医学大会，爱丁堡，苏格兰，2000年10月</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一、前言</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1．世界医学大会起草的赫尔辛基宣言，是人体医学研究伦理准则的声明，用以指导医生及其他参与者进行人体医学研究。人体医学研究包括对人体本身和相关数据或资料的研究。</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2．促进和保护人类健康是医生的职责。医生的知识和道德正是为了履行这一职责。</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3．世界医学大会的日内瓦宣言用“病人的健康必须是我们首先考虑的事”这样的语言对医生加以约束。医学伦理的国际准则宣告：“只有在符合病人的利益时，医生才可提供可能对病人的生理和心理产生不利影响的医疗措施”。</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4．医学的进步是以研究为基础的，这些研究在一定程度上最终有赖于以人作为受试者的试验。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5．在人体医学研究中，对受试者健康的考虑应优先于科学和社会的兴趣。</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6．人体医学研究的主要目的是改进预防、诊断和治疗方法，提高对疾病病因学和发病机理的认识。即使是已被证实了的最好的预防、诊断和治疗方法都应不断的通过研究来检验其有效性、效率、可行性和质量。</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7．在目前的医学实践和医学研究中，大多数的预防、诊断和治疗都包含有风险和负担。</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8．医学研究应遵从伦理标准，对所有的人加以尊重并保护他们的健康和权益。有些受试人群是弱势群体需加以特别保护。必须认清经济和医疗上处于不利地位的人的特殊需要。要特别关注那些不能做出知情同意或拒绝知情同意的受试者、可能在胁迫下才做出知情同意的受试者、从研究中本人得不到受益的受试者及同时接受治疗的受试者。</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9．研究者必须知道所在国关于人体研究方面的伦理、法律和法规的要求，并且要符合国际的要求。任何国家的伦理、法律和法规都不允许减少或取消本宣言中对受试者所规定的保护。</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二、医学研究的基本原则</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10．在医学研究中，保护受试者的生命和健康，维护他们的隐私和尊严是医生的职责。</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11．人体医学研究必须遵从普遍接受的科学原则，并基于对科学文献和相关资料的全面了解及充分的实验室试验和动物试验（如有必要）。</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12．必须适当谨慎地实施可能影响环境的研究，并要尊重用于研究的实验动物的权利。</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13．每项人体试验的设计和实施均应在试验方案中明确说明，并应将试验方案提交给伦理审批委员会进行审核、评论、指导，适当情况下，进行审核批准。该伦理委员会必须独立于研究者和申办者，并且不受任何其他方面的影响。该伦理委员会应遵从试验所在国的法律和制度。委员会有权监督进行中的试验。研究人员有责任向委员会提交监查资料，尤其是所有的严重不良事件的资料。研究人员还应向委员会提交其他资料以备审批，包括有关资金、申办者、研究机构以及其它对受试者潜在的利益冲突或鼓励的资料。</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14．研究方案必须有关于伦理方面的考虑的说明，并表明该方案符合本宣言中所陈述的原则。</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15．人体医学研究只能由有专业资格的人员并在临床医学专家的指导监督下进行。必须始终是医学上有资格的人员对受试者负责，而决不是由受试者本人负责，即使受试者已经知情同意参加该项研究。</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16．每项人体医学研究开始之前，应首先认真评价受试者或其他人员的预期风险、负担与受益比。这并不排除健康受试者参加医学研究。所有研究设计都应公开可以获得。</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17．医生只有当确信能够充分地预见试验中的风险并能够较好地处理的时候才能进行该项人体研究。如果发现风险超过可能的受益或已经得出阳性的结论和有利的结果时医生应当停止研究。</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18．人体医学研究只有试验目的的重要性超过了受试者本身的风险和负担时才可进行。这对受试者是健康志愿者时尤为重要。</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19．医学研究只有在受试人群能够从研究的结果中受益时才能进行。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20．受试者必须是自愿参加并且对研究项目有充分的了解。</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21．必须始终尊重受试者保护自身的权利。尽可能采取措施以尊重受试者的隐私、病人资料的保密并将对受试者身体和精神以及人格的影响减至最小。</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22．在任何人体研究中都应向每位受试候选者充分地告知研究的目的、方法、资金来源、可能的利益冲突、研究者所在的研究附属机构、研究的预期的受益和潜在的风险以及可能出现的不适。应告知受试者有权拒绝参加试验或在任何时间退出试验并且不会受到任何报复。当确认受试者理解了这些信息后，医生应获得受试者自愿给出的知情同意，以书面形式为宜。如果不能得到书面的同意书，则必须正规记录非书面同意的获得过程并要有见证。</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23．在取得研究项目的知情同意时，应特别注意受试者与医生是否存在依赖性关系或可能被迫同意参加。在这种情况下，知情同意的获得应由充分了解但不参加此研究与并受试者也完全无依赖关系的医生来进行。</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24．对于在法律上没有资格，身体或精神状况不允许给出知情同意，或未成年人的研究受试者，研究者必须遵照相关法律，从其法定全权代表处获得知情同意。只有该研究对促进他们所代表的群体的健康存在必需的意义，或不能在法律上有资格的人群中进行时，这些人才能被纳入研究。</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25．当无法定资格的受试者，如未成年儿童，实际上能作出参加研究的决定时，研究者除得到法定授权代表人的同意，还必须征得本人的同意。</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26．有些研究不能从受试者处得到同意，包括委托人或先前的同意，只有当受试者身体/精神状况不允许获得知情同意是这个人群的必要特征时，这项研究才可进行。应当在试验方案中阐明致使参加研究的受试者不能作出知情同意的特殊原因，并提交伦理委员会审查和批准。方案中还需说明在继续的研究中应尽快从受试者本人或法定授权代理人处得到知情同意。</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27．作者和出版商都要承担伦理责任。在发表研究结果时，研究者有责任保证结果的准确性。与阳性结果一样，阴性结果也应发表或以其它方式公之于众。出版物中应说明资金来源、研究附属机构和任何可能的利益冲突。与本宣言中公布的原则不符的研究报告不能被接受与发表。</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三、医学研究与医疗相结合的附加原则</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Cs w:val="21"/>
              </w:rPr>
              <w:t>　　28．医生可以将医学研究与医疗措施相结合，但仅限于该研究已被证实具有潜在的预防、诊断和治疗价值的情况下。当医学研究与医疗措施相结合时，病人作为研究的受试者要有附加条例加以保护。</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29．新方法的益处、风险、负担和有效性都应当与现有最佳的预防、诊断和治疗方法作对比。这并不排除在目前没有有效的预防、诊断和治疗方法存在的研究中，使用安慰剂或无治疗作为对照。</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30．在研究结束时，每个入组病人都应当确保得到经该研究证实的最有效的预防、诊断和治疗方法。</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31．医生应当充分告知病人其接受的治疗中的那一部分与研究有关。病人拒绝参加研究绝不应该影响该病人与医生的关系。</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32．在对病人的治疗中，对于没有已被证明的预防、诊断和治疗方法，或在使用无效的情况下，若医生判定一种未经证实或新的预防、诊断和治疗方法有望挽救生命、恢复健康和减轻痛苦，在获得病人的知情同意的前提下，应不受限制地应用这种方法。在可能的情况下，这些方法应被作为研究对象，并有计划地评价其安全性和有效性。记录从所有相关病例中得到的新资料，适当时予以发表。同时要遵循本宣言的其他相关原则。</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附录2：</w:t>
            </w:r>
          </w:p>
          <w:p>
            <w:pPr>
              <w:widowControl/>
              <w:wordWrap w:val="0"/>
              <w:spacing w:before="100" w:beforeAutospacing="1" w:after="100" w:afterAutospacing="1" w:line="480" w:lineRule="auto"/>
              <w:jc w:val="center"/>
              <w:rPr>
                <w:rFonts w:hint="eastAsia" w:ascii="微软雅黑" w:hAnsi="微软雅黑" w:eastAsia="微软雅黑" w:cs="微软雅黑"/>
                <w:color w:val="000000"/>
                <w:kern w:val="0"/>
                <w:szCs w:val="21"/>
              </w:rPr>
            </w:pPr>
            <w:r>
              <w:rPr>
                <w:rFonts w:hint="eastAsia" w:ascii="微软雅黑" w:hAnsi="微软雅黑" w:eastAsia="微软雅黑" w:cs="微软雅黑"/>
                <w:b/>
                <w:bCs/>
                <w:color w:val="000000"/>
                <w:kern w:val="0"/>
                <w:sz w:val="24"/>
                <w:szCs w:val="24"/>
              </w:rPr>
              <w:t>临床试验保存文件</w:t>
            </w:r>
          </w:p>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b/>
                <w:bCs/>
                <w:color w:val="000000"/>
                <w:kern w:val="0"/>
                <w:sz w:val="24"/>
                <w:szCs w:val="24"/>
              </w:rPr>
              <w:t>一、临床试验准备阶段</w:t>
            </w:r>
          </w:p>
          <w:tbl>
            <w:tblPr>
              <w:tblStyle w:val="4"/>
              <w:tblW w:w="7295"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73"/>
              <w:gridCol w:w="4603"/>
              <w:gridCol w:w="1102"/>
              <w:gridCol w:w="11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blCellSpacing w:w="15" w:type="dxa"/>
                <w:jc w:val="center"/>
              </w:trPr>
              <w:tc>
                <w:tcPr>
                  <w:tcW w:w="5031"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line="480" w:lineRule="auto"/>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24"/>
                      <w:szCs w:val="24"/>
                    </w:rPr>
                    <w:t>临床试验保存文件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研究者</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申办者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研究者手册</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试验方案及其修正案（已签名）</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病例报告表（样表）</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知情同意书</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财务规定</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多方协议（已签名）（研究者、申办者、合同研究组织）</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伦理委员会批件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伦理委员会成员表</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9</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临床试验申请表</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临床前实验室资料</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11</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国家食品药品监督管理局批件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研究者履历及相关文件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13</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临床试验有关的实验室检测正常值范围</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14</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医学或实验室操作的质控证明</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试验用药品的标签</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5031" w:type="dxa"/>
                  <w:gridSpan w:val="2"/>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临床试验保存文件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研究者</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申办者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16</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试验用药品与试验相关物资的运货单</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17</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试验药物的药检证明</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18</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设盲试验的破盲规程</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0"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30"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19</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3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总随机表</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30"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30"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90"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20</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9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监查报告</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90"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90"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bl>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b/>
                <w:bCs/>
                <w:color w:val="000000"/>
                <w:kern w:val="0"/>
                <w:sz w:val="24"/>
                <w:szCs w:val="24"/>
              </w:rPr>
              <w:t>二、临床试验进行阶段</w:t>
            </w:r>
          </w:p>
          <w:tbl>
            <w:tblPr>
              <w:tblStyle w:val="4"/>
              <w:tblW w:w="7295"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73"/>
              <w:gridCol w:w="4603"/>
              <w:gridCol w:w="1102"/>
              <w:gridCol w:w="11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blCellSpacing w:w="15" w:type="dxa"/>
                <w:jc w:val="center"/>
              </w:trPr>
              <w:tc>
                <w:tcPr>
                  <w:tcW w:w="5031" w:type="dxa"/>
                  <w:gridSpan w:val="2"/>
                  <w:tcBorders>
                    <w:top w:val="outset" w:color="auto" w:sz="6" w:space="0"/>
                    <w:left w:val="outset" w:color="auto" w:sz="6" w:space="0"/>
                    <w:bottom w:val="outset" w:color="auto" w:sz="6" w:space="0"/>
                    <w:right w:val="outset" w:color="auto" w:sz="6" w:space="0"/>
                  </w:tcBorders>
                  <w:vAlign w:val="center"/>
                </w:tcPr>
                <w:p>
                  <w:pPr>
                    <w:widowControl/>
                    <w:wordWrap w:val="0"/>
                    <w:spacing w:before="100" w:beforeAutospacing="1" w:after="100" w:afterAutospacing="1" w:line="480" w:lineRule="auto"/>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 w:val="24"/>
                      <w:szCs w:val="24"/>
                    </w:rPr>
                    <w:t>临床试验保存文件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研究者</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申办者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研究者手册更新件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22</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其他文件（方案、病例报告表、知情同意书、书面情况通知）的更新</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新研究者的履历</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24</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医学、实验室检查的正常值范围更新</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25</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试验用药品与试验相关物资的运货单</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26</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新批号试验药物的药检证明</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27</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监查员访视报告</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28</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已签名的知情同意书</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29</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原始医疗文件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30</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病例报告表（已填写，签名，注明日期）</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保存副本</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31</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研究者致申办者的严重不良事件报告</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031" w:type="dxa"/>
                  <w:gridSpan w:val="2"/>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临床试验保存文件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研究者</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申办者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申办者致药品监督管理局、伦理委员会的严重不良事件报告</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33</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中期或年度报告</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受试者鉴认代码表</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35</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受试者筛选表与入选表</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36</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试验用药品登记表</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37</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研究者签名样张</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bl>
          <w:p>
            <w:pPr>
              <w:widowControl/>
              <w:wordWrap w:val="0"/>
              <w:spacing w:before="100" w:beforeAutospacing="1" w:after="100" w:afterAutospacing="1" w:line="480" w:lineRule="auto"/>
              <w:jc w:val="left"/>
              <w:rPr>
                <w:rFonts w:hint="eastAsia" w:ascii="微软雅黑" w:hAnsi="微软雅黑" w:eastAsia="微软雅黑" w:cs="微软雅黑"/>
                <w:color w:val="000000"/>
                <w:kern w:val="0"/>
                <w:szCs w:val="21"/>
              </w:rPr>
            </w:pPr>
            <w:r>
              <w:rPr>
                <w:rFonts w:hint="eastAsia" w:ascii="微软雅黑" w:hAnsi="微软雅黑" w:eastAsia="微软雅黑" w:cs="微软雅黑"/>
                <w:b/>
                <w:bCs/>
                <w:color w:val="000000"/>
                <w:kern w:val="0"/>
                <w:sz w:val="24"/>
                <w:szCs w:val="24"/>
              </w:rPr>
              <w:t>三、临床试验完成后</w:t>
            </w:r>
          </w:p>
          <w:tbl>
            <w:tblPr>
              <w:tblStyle w:val="4"/>
              <w:tblW w:w="7295"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73"/>
              <w:gridCol w:w="4603"/>
              <w:gridCol w:w="1102"/>
              <w:gridCol w:w="11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blCellSpacing w:w="15" w:type="dxa"/>
                <w:jc w:val="center"/>
              </w:trPr>
              <w:tc>
                <w:tcPr>
                  <w:tcW w:w="5031" w:type="dxa"/>
                  <w:gridSpan w:val="2"/>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临床试验保存文件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研究者</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7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申办者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1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38</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15"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试验药物销毁证明</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1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1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39</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完成试验受试者编码目录</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40</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稽查证明件</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41</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最终监查报告</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42</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治疗分配与破盲证明</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408"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3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13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43</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135"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试验完成报告（致伦理委员会国家食品药品监督管理局）</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13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13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65" w:hRule="atLeast"/>
                <w:tblCellSpacing w:w="15" w:type="dxa"/>
                <w:jc w:val="center"/>
              </w:trPr>
              <w:tc>
                <w:tcPr>
                  <w:tcW w:w="428" w:type="dxa"/>
                  <w:tcBorders>
                    <w:top w:val="outset" w:color="auto" w:sz="6" w:space="0"/>
                    <w:left w:val="outset" w:color="auto" w:sz="6" w:space="0"/>
                    <w:bottom w:val="outset" w:color="auto" w:sz="6" w:space="0"/>
                    <w:right w:val="outset" w:color="auto" w:sz="6" w:space="0"/>
                  </w:tcBorders>
                  <w:vAlign w:val="center"/>
                </w:tcPr>
                <w:p>
                  <w:pPr>
                    <w:widowControl/>
                    <w:spacing w:line="16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44</w:t>
                  </w:r>
                </w:p>
              </w:tc>
              <w:tc>
                <w:tcPr>
                  <w:tcW w:w="4573" w:type="dxa"/>
                  <w:tcBorders>
                    <w:top w:val="outset" w:color="auto" w:sz="6" w:space="0"/>
                    <w:left w:val="outset" w:color="auto" w:sz="6" w:space="0"/>
                    <w:bottom w:val="outset" w:color="auto" w:sz="6" w:space="0"/>
                    <w:right w:val="outset" w:color="auto" w:sz="6" w:space="0"/>
                  </w:tcBorders>
                  <w:vAlign w:val="center"/>
                </w:tcPr>
                <w:p>
                  <w:pPr>
                    <w:widowControl/>
                    <w:spacing w:line="165"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总结报告</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16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w:t>
                  </w:r>
                </w:p>
              </w:tc>
              <w:tc>
                <w:tcPr>
                  <w:tcW w:w="1072" w:type="dxa"/>
                  <w:tcBorders>
                    <w:top w:val="outset" w:color="auto" w:sz="6" w:space="0"/>
                    <w:left w:val="outset" w:color="auto" w:sz="6" w:space="0"/>
                    <w:bottom w:val="outset" w:color="auto" w:sz="6" w:space="0"/>
                    <w:right w:val="outset" w:color="auto" w:sz="6" w:space="0"/>
                  </w:tcBorders>
                  <w:vAlign w:val="center"/>
                </w:tcPr>
                <w:p>
                  <w:pPr>
                    <w:widowControl/>
                    <w:spacing w:line="16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24"/>
                      <w:szCs w:val="24"/>
                    </w:rPr>
                    <w:t>保存原件</w:t>
                  </w:r>
                </w:p>
              </w:tc>
            </w:tr>
          </w:tbl>
          <w:p>
            <w:pPr>
              <w:widowControl/>
              <w:wordWrap w:val="0"/>
              <w:spacing w:line="480" w:lineRule="auto"/>
              <w:jc w:val="center"/>
              <w:rPr>
                <w:rFonts w:hint="eastAsia" w:ascii="微软雅黑" w:hAnsi="微软雅黑" w:eastAsia="微软雅黑" w:cs="微软雅黑"/>
                <w:color w:val="000000"/>
                <w:kern w:val="0"/>
                <w:szCs w:val="21"/>
              </w:rPr>
            </w:pPr>
          </w:p>
        </w:tc>
      </w:tr>
      <w:tr>
        <w:tblPrEx>
          <w:tblLayout w:type="fixed"/>
          <w:tblCellMar>
            <w:top w:w="0" w:type="dxa"/>
            <w:left w:w="0" w:type="dxa"/>
            <w:bottom w:w="0" w:type="dxa"/>
            <w:right w:w="0" w:type="dxa"/>
          </w:tblCellMar>
        </w:tblPrEx>
        <w:trPr>
          <w:tblCellSpacing w:w="0" w:type="dxa"/>
          <w:jc w:val="center"/>
        </w:trPr>
        <w:tc>
          <w:tcPr>
            <w:tcW w:w="8306" w:type="dxa"/>
            <w:vAlign w:val="center"/>
          </w:tcPr>
          <w:p>
            <w:pPr>
              <w:widowControl/>
              <w:spacing w:line="408" w:lineRule="auto"/>
              <w:jc w:val="left"/>
              <w:rPr>
                <w:rFonts w:hint="eastAsia" w:ascii="微软雅黑" w:hAnsi="微软雅黑" w:eastAsia="微软雅黑" w:cs="微软雅黑"/>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680A"/>
    <w:rsid w:val="00121006"/>
    <w:rsid w:val="00191F83"/>
    <w:rsid w:val="001F4A40"/>
    <w:rsid w:val="002475ED"/>
    <w:rsid w:val="0060483A"/>
    <w:rsid w:val="006E613B"/>
    <w:rsid w:val="008254BD"/>
    <w:rsid w:val="00832543"/>
    <w:rsid w:val="00907EFC"/>
    <w:rsid w:val="00BC2F5A"/>
    <w:rsid w:val="00DB680A"/>
    <w:rsid w:val="00FE284B"/>
    <w:rsid w:val="0C83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2161</Words>
  <Characters>12324</Characters>
  <Lines>102</Lines>
  <Paragraphs>28</Paragraphs>
  <TotalTime>0</TotalTime>
  <ScaleCrop>false</ScaleCrop>
  <LinksUpToDate>false</LinksUpToDate>
  <CharactersWithSpaces>14457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2016-11-21T08:28:00Z</dcterms:created>
  <dc:creator>陆明莹</dc:creator>
  <cp:lastModifiedBy>HoneySweet</cp:lastModifiedBy>
  <dcterms:modified xsi:type="dcterms:W3CDTF">2019-08-28T05:27:27Z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